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Ambiente e Servizi Integrati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Accertamento rispetto limiti emissioni sonore per pubblici esercizi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richiesta da parte di un privato per l'accertamento rispetto ai limiti di emissioni sonore per pubblici esercizi.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447/1995 - Legge quadro sull'inquinamento acustico - D.P.C.M. 14 novembre 1997 - Determinazione dei valori limite delle sorgenti sonore - D.Lgs. 267/2000 T.U.E.L. - Legge regionale - Regolamento di attuazione del Piano comunale di Zonizzazione Acustica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Modulo per la presentazione dell'istanza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Nei termini fissati dallo statuto o dai regolamenti comunali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opposizione entro 30 giorni al Tribunale civile competente o al Giudice di Pace in relazione alla natura della sanzione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