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Bonifica e ripristino di aree contaminate: approvazione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nella richiesta di approvazione intervento di bonifica e ripristino di aree contaminate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D.G.R.V. n. 2922 del 3 ottobre 2003 - Linee guida per il campionamento e l'analisi dei campioni dei siti inquinati - protocollo operativo - D.Lgs. 152/2006 - D.Lgs. 4/2008 - Ulteriori disposizioni correttive ed integrative del Codice Ambiente - D.M. 31/2015 - Ambiente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Termini previsti dall'art. 242 del D.lgs. 152/2006 al 7/4/2012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Previa convocazione della conferenza di servizi, i termini per l'approvazione sono di: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30 gg. per il Piano di Caratterizzazione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60 gg. per l'Analisi di Rischio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60 gg. per il Progetto di Bonifica dalla presentazione della documentazione.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