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acustico: Autorizzazione in deroga per i cantieri edili - stradali - industr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Comune puo' autorizzare l'attivita' di cantieri edili, stradali o industriali in deroga ai limiti vigenti in campo di inquinamento acustico, ai sensi della L. 447/95, art. 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. 447/1995 - D.P.C.M. 14 novembre 1997 - Determinazione dei valori limite delle sorgenti sonore - Legge regionale - Regolamento di attuazione del Piano comunale di Zonizzazione Acu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