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acustico: Autorizzazione in deroga per manifestazioni temporanee rumoros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e richieste di autorizzazione in deroga per manifestazioni temporanee rumorose ( cantieri, luna-park, circhi, manifestazioni musicali, teatrali e sportive, manifestazioni popolari, altre attivita' con carattere temporane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. 447/1995 - D.P.C.M. 14 novembre 1997 - Determinazione dei valori limite delle sorgenti sonore - Legge regionale - Regolamento di attuazione del Piano comunale di Zonizzazione Acu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