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Modifica sostanziale di impianto AUA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Modifica sostanziale di impianto AUA - Autorizzazione. Va comunicata, da parte dei soggetti istanti l'A.U.A., ogni modifica che "possa produrre effetti sull'ambiente" e, dunque, ogni modifica relativa all'utilizzo di sostanze e di cicli di prodotto. Pertanto, ai fini dell'applicabilita' della norma, non rileva che la modifica introdotta sia poi ritenuta, a seguito di concreta valutazione espletata dalle amministrazioni competenti, non influente sull'ambiente, posto che la modifica debba essere comunicata anche solo se potenzialmente idonea a produrre effetti sull'ambiente.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Nel caso quindi di una modifica sostanziale, come prevede l'art. 6 comma 2 del D.P.R. n. 59/2013, il gestore e' obbligato a presentare una nuova domanda di A.U.A.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giurisdizionali: ricorso al TAR entro 60 giorni/Presidente della Repubblica Stato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