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installazione di cartelli e insegne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installazione di cartelli e insegne.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D.Lgs. 507/1993 - Revisione ed armonizzazione imposta comunale sulla pubblicita' e del diritto sulle pubbliche affissioni - D.Lgs. 42/2004 - Codice dei beni culturali e del paesaggio - Legge regionale - Regolamento Edilizio - Regolamento comunale per l'applicazione dell'imposta comunale sulla pubblicita' e sui diritti delle pubbliche affissioni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