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passo carrabile permanente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per l'autorizzazione passo carrabile permanente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Regolamento comunale per l'applicazione della COSAP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