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Eliminazione delle barriere architettoniche (pesanti) - CILA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svolti alla eliminazione delle barriere architettoniche.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Comunicazione di Inizio Lavori Asseverata (c.d. CILA) relativa a lavori di manutenzione straordinaria, inviata dal privato all'amministrazione competente, non e' sottoposta alla valutazione di ammissibilita' da parte della amministrazione stessa a cui residua esclusivamente il potere di controllare la conformita' dell'immobile oggetto della CILA alle prescrizioni vigenti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445/2000 -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Non e' previso alcun provvedimento conclusivo e non si forma il silenzio, residua il controllo in capo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