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Interventi di urbanizzazione primaria e secondaria - Autorizzazione (PdC) /silenzio-assenso ai sensi dell'art. 20 del d.p.r. 380/ 2001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negli Interventi di urbanizzazione primaria e secondaria realizzati da soggetti diversi dal Comune.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D.P.R. 380/2001 - Testo Unico delle disposizioni legislative e regolamentari in materia edilizia - D.Lgs. 222/2016 - Individuazione di procedimenti oggetto di autorizzazione, SCIA, silenzio-assenso e comunicazione e di definizione dei regimi amministrativi applicabili a determinate attivita' e procedimenti - Legge regionale - Regolamento Edilizio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 Via Amendola 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90 giorni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 Termini intermedi che sospendono o interrompono il procedimento: sospensione per integrazione documentale e valutazioni tecniche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Silenzio assenso decorsi 90 giorni senza sospensione o interruzione dei termini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