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Interventi su immobili sottoposti a vincolo idrogeologico - CILA/SCIA piu' Autorizzazioni (la mappatura si riferisce alla CILA)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gestione della CILA/SCIA e nel rilascio dell'autorizzazione per interventi su immobili sottoposti a vincolo idrogeologico.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Gli interventi sottoposti a Dia, SCIA o Cila, infatti, devono ottenere preventivamente atti o pareri relativi all'assetto idrogeologico laddove previsto dalla normativa applicabile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R.D. 3267/1923 - Riordinamento e riforma della legislazione in materia di boschi e terreni montani - D.Lgs. 152/2006- Normativa Regionale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- 60 giorni per il rilascio dell'autorizzazione.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CILA - Dal momento che la comunicazione non necessita di autorizzazione, i lavori possono iniziare immediatamente dopo la sua presentazione.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L'inizio dei lavori e la conclusione degli stessi deve obbligatoriamente avvenire entro tre anni dalla presentazione della comunicazione.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-Non e' previso alcun provvedimento conclusivo e non si forma il silenzio, residua il controllo in capo all'amministrazione, con riferimento alla CILA.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Tuttavia, la CILA non assume efficacia siano all'autorizzazione richiesta.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Provvedimento espresso e motivato: autorizzazione idrogeologica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