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utamento di destinazione d'uso avente rilevanza urbanistica - Autorizzazione (PdC)/silenzio-assenso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mutamento della destinazione d'uso avente rilevanza urbanistic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alva diversa previsione da parte delle leggi regionali costituisce mutamento rilevante della destinazione d'uso ogni forma di utilizzo dell'immobile o della singola unita' immobiliare diversa da quella originaria, ancorche' non accompagnata dall'esecuzione di opere edilizie, purche' tale da comportare l'assegnazione dell'immobile o dell'unita' immobiliare considerati ad una diversa categoria funzionale tra quelle elencate: residenziale; turistico ricettiva; produttiva direzionale; commerciale; ru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