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Nuovi impianti ed infrastrutture adibiti ad attivita' produttive, sportive e ricreative e postazioni di servizi commerciali polifunzionali - Autorizzazione (PdC) piu': a) comunicazione (se non si superano le soglie della zonizzazione comunale), b) (autorizzazione in caso di emissioni superiori ai limiti della zonizzazione). (La mappatura si riferisce al PdC)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delle autorizzazioni per nuovi impianti ed infrastrutture adibiti ad attivita' produttive, sportive e ricreative e postazioni di servizi commerciali polifunzionali.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Ci si riferisce a autorizzazione di nuovi impianti e infrastrutture adibiti ad attivita' produttive, sportive e ricreative e a postazione di servizi commerciali polifunzionale, di provvedimenti comunali che abilitano alla utilizzazione dei medesimi immobili e infrastrutture, nonche' domande di licenza o di autorizzazione all'esercizio di attivita' produttive soggette a documentazione di impatto acustico.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documentazione o l'istanza debbono essere presentate, unitamente alle altre istanze, allo sportello unico del Comune contestualmente alla domanda di rilascio del permesso di costruire.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241/1990 -D.Lgs. n. 82/2005 - L. 190/2012 - D.Lgs.n. 33/2013 - DPR n. 62/2013 - Statuto - Regolamento sul procedimento amministrativo - L. 447/1995 - Legge quadro sull'inquinamento acustico - D.Lgs. 267/2000 T.U.E.L. - D.P.R. 227/2011 - Regolamento per la semplificazione di adempimenti amministrativi in materia ambientale gravanti sulle imprese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 e Permesso di costruire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