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Relazione a strutture ultimate delle opere in conglomerato cementizio armato normale, precompresso e a struttura metallica - Comunicazione asseverata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Relazione a strutture ultimate delle opere in conglomerato cementizio armato normale, precompresso e a struttura metallica - Comunicazione asseverata</w:t>
            </w:r>
          </w:p>
          <w:p>
            <w:pPr>
              <w:jc w:val="both"/>
            </w:pPr>
            <w:r>
              <w:rPr>
                <w:rFonts w:ascii="Arial" w:hAnsi="Arial"/>
              </w:rPr>
              <w:t xml:space="preserve">L'attivita' consiste nella come inazione asseverata per: relazione a strutture ultimate delle opere in conglomerato cementizio armato normale, precompresso e a struttura metallica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D.P.R. 380/2001 - Testo Unico delle disposizioni legislative e regolamentari in materia edilizia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Dal momento che la comunicazione non necessita di autorizzazione, i lavori possono iniziare immediatamente dopo la sua presentazione.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 Comunicazione asseverata. non costituisce provvedimento tacito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