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Restauro e risanamento conservativo (leggero) - CILA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edilizi rivolti a conservare l'organismo edilizio e ad assicurarne la funzionalita' mediante un insieme sistematico di opere che, nel rispetto degli elementi tipologici, formali e strutturali dell'organismo stesso, ne consentano destinazioni d'uso.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Comunicazione di Inizio Lavori Asseverata (c.d. CILA) relativa a lavori di manutenzione straordinaria, inviata dal privato all'amministrazione competente, non e' sottoposta alla valutazione di ammissibilita' da parte della amministrazione stessa a cui residua esclusivamente il potere di controllare la conformita' dell'immobile oggetto della CILA alle prescrizioni vigenti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Dal momento che la comunicazione non necessita di autorizzazione, i lavori possono iniziare immediatamente dopo la sua presentazione.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L'inizio dei lavori e la conclusione degli stessi deve obbligatoriamente avvenire entro tre anni dalla presentazione della comunicazione.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Non e' previso alcun provvedimento conclusivo e non si forma il silenzio, residua il controllo in capo 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