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Ristrutturazione edilizia (cosiddetta "pesante" ) - Autorizzazione PdC / silenzio-assenso ai sensi dell'art. 20, d.p.r. 380/ 2001 e SCIA alternativa alla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ristrutturazione edilizia che portino ad un organismo edilizio in tutto o in parte diverso dal precedente che comportino modifiche della volumetria complessiva degli edifici o dei prospetti ovvero che, limitatamente agli immobili compresi nelle zone omogenee A, comportino mutamenti urbanisticamente rilevanti della destinazione d'uso. Nel caso di presentazione della SCIA alternativa alla autorizzazione, l'istanza e' presentata 30 giorni prima dell'avvio dei lavori.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con provvedimento espresso: 90 giorni</w:t>
            </w:r>
          </w:p>
          <w:p>
            <w:pPr>
              <w:jc w:val="both"/>
            </w:pPr>
            <w:r>
              <w:rPr>
                <w:rFonts w:ascii="Arial" w:hAnsi="Arial"/>
              </w:rPr>
              <w:t xml:space="preserve">- In caso di SCIA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endo-procedimentali rilevanti: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 in caso di SCIA</w:t>
            </w:r>
          </w:p>
          <w:p>
            <w:pPr>
              <w:jc w:val="both"/>
            </w:pPr>
            <w:r>
              <w:rPr>
                <w:rFonts w:ascii="Arial" w:hAnsi="Arial"/>
              </w:rPr>
              <w:t xml:space="preserve">in alternativa</w:t>
            </w:r>
          </w:p>
          <w:p>
            <w:pPr>
              <w:jc w:val="both"/>
            </w:pPr>
            <w:r>
              <w:rPr>
                <w:rFonts w:ascii="Arial" w:hAnsi="Arial"/>
              </w:rPr>
              <w:t xml:space="preserve"/>
            </w:r>
          </w:p>
          <w:p>
            <w:pPr>
              <w:jc w:val="both"/>
            </w:pPr>
            <w:r>
              <w:rPr>
                <w:rFonts w:ascii="Arial" w:hAnsi="Arial"/>
              </w:rPr>
              <w:t xml:space="preserve">- Provvedimento espresso e motivato,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