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Ristrutturazione edilizia cosiddetta "semplice" o "leggera" - SCIA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rivolti a trasformare gli organismi edilizi mediante un insieme sistematico di opere che possono portare ad un organismo edilizio in tutto o in parte diverso dal precedente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L'attivita' oggetto della segnalazione puo' essere iniziata , anche nei casi di cui all'articolo 19-bis, comma L.241/1990, dalla data della presentazione della segnalazione all'amministrazione competente. Entro 60 giorni dalla presentazione, l'amministrazione puo' eseguire i controlli sui requisiti dichiarati.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