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CASSANO ALLO IONIO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2 SETTORE AREA TECNICA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2 SETTORE AREA TECNICA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Edilizia Privata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Ristrutturazione urbanistica - Autorizzazione (PdC) /silenzio-assenso ai sensi dell'art. 20, d.p.r. 380/2001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privata, ad istanza di parte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L'attivita' consiste negli interventi rivolti a sostituire l'esistente tessuto urbanistico-edilizio con altro diverso, mediante un insieme sistematico di interventi edilizi, anche con la modificazione del disegno dei lotti, degli isolati e della rete stradale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82/2005 - L. 190/2012 - D.Lgs.n. 33/2013 - DPR n. 62/2013 - Statuto - Regolamento sul procedimento amministrativo - D.Lgs. 267/2000 T.U.E.L. - D.P.R. 380/2001 - Testo Unico delle disposizioni legislative e regolamentari in materia edilizia - Legge regionale - Regolamento Edilizio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 SETTORE AREA TECNICA SETTORE/UNITA' ORGANIZZATIVA 2 SETTORE AREA TECNICA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Edilizia Privata Via Amendola 1 - Tel: 0981.780244 - Telefono: 0981 780201 - Pec: protocollo.comune.cassanoalloionio.cs@asmepec.it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Ing. Serra Luigi Tel: 0981.780244 - Telefono: 0981 780201 - Pec: protocollo.comune.cassanoalloionio.cs@asmepec.it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Elenco atti e documenti indicati nella modulistica 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Modulistica consultabile sul sito istituzionale dell'Ente al link sottoindicato. In assenza del link, contattare l'Ufficio del procedimento. 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Edilizia Privata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Termine per la conclusione: 90 giorni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 - Termini intermedi che sospendono o interrompono il procedimento: sospensione per integrazione documentale e valutazioni tecniche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 e motivato: autorizzazione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- Silenzio assenso decorsi 90 giorni senza sospensione o interruzione dei termini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Tutela amministrativa: partecipazione al procedimento, istanza di autotutela, ricorsi amministrativi (gerarchico, in opposizione, straordinario al Capo dello Stato), intervento da parte del titolare del potere sostitutivo, indennizzo da ritardo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- Tutela giurisdizionale: ricorso al TAR entro 90 giorni o Presidente della Repubblica entro 120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Pago PA ove previsto - Diritti all'Ufficio ove previsti - Pagamento sul conto di tesoreria (bollettino, MAV). il codici IBAN identificativi del conto di pagamento, ovvero di imputazione del versamento in Tesoreria, ovvero gli identificativi del conto corrente postale, nonche' i codici identificativi del pagamento da indicare obbligatoriamente per il versamento sono indicati negli atti di pagamento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25/06/2020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