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Varianti in corso d'opera a permessi di costruire - CILA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nelle varianti a permessi di costruire che non incidono sui parametri urbanistici e sulle volumetrie, che non comportano mutamenti urbanisticamente rilevanti della destinazione d'uso, che non modificano la categoria edilizia, non alterano la sagoma dell'edificio qualora sottoposto ai vincoli ai sensi del decreto legislativo 22 gennaio 2004 n. 42, e non violano le eventuali prescrizioni contenute nel permesso di costruire. Ai fini dell'attivita' di vigilanza urbanistica ed edilizia, nonche' ai fini del rilascio del certificato di agibilita', tali segnalazioni certificati di inizio attivita' costituiscono parte integrante del procedimento relativo al permesso di costruzione dell'intervento principale e possono essere presentate prima della dichiarazione di ultimazione dei lavori.</w:t>
            </w:r>
          </w:p>
          <w:p>
            <w:pPr>
              <w:jc w:val="both"/>
            </w:pPr>
            <w:r>
              <w:rPr>
                <w:rFonts w:ascii="Arial" w:hAnsi="Arial"/>
              </w:rPr>
              <w:t xml:space="preserve">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Dal momento che la comunicazione non necessita di autorizzazione, i lavori possono iniziare immediatamente dopo la sua presentazione.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-Non e' previso alcun provvedimento conclusivo e non si forma il silenzio, residua il controllo in capo all'amministrazione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