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CASSANO ALLO IONIO</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2 SETTORE AREA TECNICA</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2 SETTORE AREA TECNICA</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Edilizia Privata</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Varianti in corso d'opera che non presentano i caratteri delle variazioni essenziali - SCIA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privata, ad istanza di parte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L'attivita' consiste nelle varianti a permessi di costruire che non configurano una variazione essenziale , a condizione che siano conformi alle prescrizioni urbanistiche ed edilizie e siano attuate dopo l'acquisizione degli eventuali atti di assenso prescritti dalla normativa sui vincoli paesaggistici, idrogeologici, ambientali, di tutela del patrimonio storico, artistico e archeologico e delle altre normative di settore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82/2005 - L. 190/2012 - D.Lgs.n. 33/2013 - DPR n. 62/2013 - Statuto - Regolamento sul procedimento amministrativo - D.Lgs. 267/2000 T.U.E.L. - D.P.R. 380/2001 - Testo Unico delle disposizioni legislative e regolamentari in materia edilizia - Legge regionale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2 SETTORE AREA TECNICA SETTORE/UNITA' ORGANIZZATIVA 2 SETTORE AREA TECNICA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Edilizia Privata Via Amendola 1 - Tel: 0981.780244 - Telefono: 0981 780201 - Pec: protocollo.comune.cassanoalloionio.cs@asmepec.it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Ing. Serra Luigi Tel: 0981.780244 - Telefono: 0981 780201 - Pec: protocollo.comune.cassanoalloionio.cs@asmepec.it</w:t>
            </w:r>
          </w:p>
          <w:p>
            <w:pPr>
              <w:jc w:val="both"/>
            </w:pPr>
            <w:r>
              <w:rPr>
                <w:rFonts w:ascii="Arial" w:hAnsi="Arial"/>
              </w:rPr>
              <w:t xml:space="preserve"/>
            </w:r>
          </w:p>
          <w:p>
            <w:pPr>
              <w:jc w:val="both"/>
            </w:pPr>
            <w:r>
              <w:rPr>
                <w:rFonts w:ascii="Arial" w:hAnsi="Arial"/>
              </w:rPr>
              <w:t xml:space="preserve"/>
            </w:r>
          </w:p>
          <w:p>
            <w:pPr>
              <w:jc w:val="both"/>
            </w:pPr>
            <w:r>
              <w:rPr>
                <w:rFonts w:ascii="Arial" w:hAnsi="Arial"/>
              </w:rPr>
              <w:t xml:space="preserve"/>
            </w:r>
          </w:p>
          <w:p>
            <w:pPr>
              <w:jc w:val="both"/>
            </w:pPr>
            <w:r>
              <w:rPr>
                <w:rFonts w:ascii="Arial" w:hAnsi="Arial"/>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Elenco atti e documenti indicati nella modulistica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Modulistica consultabile sul sito istituzionale dell'Ente al link sottoindicato. In assenza del link, contattare l'Ufficio del procedimento.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Edilizia Privata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L'attivita' puo' essere avviata immediatamente. Entro 30 giorni l'amministrazione effettua i controlli sulla sussistenza dei requisiti e dei presupposti richiesti per lo svolgimento dell'attivita'.</w:t>
            </w:r>
          </w:p>
          <w:p>
            <w:pPr>
              <w:jc w:val="both"/>
            </w:pPr>
            <w:r>
              <w:rPr>
                <w:rFonts w:ascii="Arial" w:hAnsi="Arial"/>
              </w:rPr>
              <w:t xml:space="preserve">- Termini intermedi che sospendono o interrompono il procedimento: sospensione per integrazione documentale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Silenzio assenso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Tutela amministrativa: partecipazione al procedimento, istanza di autotutela, ricorsi amministrativi (gerarchico, in opposizione, straordinario al Capo dello Stato), intervento da parte del titolare del potere sostitutivo, indennizzo da ritardo</w:t>
            </w:r>
          </w:p>
          <w:p>
            <w:pPr>
              <w:jc w:val="both"/>
            </w:pPr>
            <w:r>
              <w:rPr>
                <w:rFonts w:ascii="Arial" w:hAnsi="Arial"/>
              </w:rPr>
              <w:t xml:space="preserve">- La segnalazione certificata di inizio attivita', la denuncia e la dichiarazione di inizio attivita' non costituiscono provvedimenti taciti direttamente impugnabili. Gli interessati possono sollecitare l'esercizio delle verifiche spettanti all'amministrazione e, in caso di inerzia, esperire esclusivamente l'azione avverso il silenzio di cui all'art. 31, commi 1, 2 e 3 del decreto legislativo 2 luglio 2010, n. 104</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25/06/2020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