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Amministrativa Cimitero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del servizio di gestione lampade/luci votive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servizio di gestione illuminazione votiva cimiteriale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dalla legge di gara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in materia procedure di affidamento ai sensi dell'art. 204 bis, D.Lgs n. 50/2016, e dell'art. 120, D.Lgs n. 104/2010 da esperire nel termine di 30 giorni, decorrente, per il ricorso principale e per i motivi aggiunti, dalla ricezione della comunicazione di cui all'articolo 79 del decreto legislativo 12 aprile 2006, n. 163 (76, D.Lgs. n. 50/2016) , o, per i bandi e gli avvisi con cui si indice una gara, autonomamente lesivi, dalla pubblicazione di cui all'articolo 66, comma 8, dello stesso decreto (72 e 73, D.Lgs. n. 50/2016) ; ovvero, in ogni altro caso, dalla conoscenza dell'atto. Per il ricorso incidentale la decorrenza del termine e' disciplinata dall'articolo 42, D.Lgs n. 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