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bilita' ex art. 34 bis, D. L.gs. 165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ssunzione di personale, tramite graduator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