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Gestione del Personale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Trasformazione del rapporto di lavoro a tempo parziale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applicazione della trasformazione del rapporto di lavoro a tempo parziale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662/1996 - CCNL - Regolamento per la disciplina del part-time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60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