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sprop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cquisizione o nel far acquisire a un altro soggetto, la proprieta' o altro diritto reale su di un bene, sempre per esigenze di interesse pubblico, indipendente dalla volonta' del proprietario, al quale viene corrisposto un indennizz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27/2001 - D.Lgs. 302/2002 e successive modifica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ermine quinquennale di validita' della dichiarazione di pubblica utilita', decorrente dalla data di approvazione del progetto ai sensi degli artt. 12 e 13 del D. P. R. n. 327 / 2001 , con l'adozione del decreto di esproprio o altro atto equiparato concernente l'immobile occupa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la TAR entro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