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Programma lavori pubblici sotto i 100.000 euro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le variazioni al Programma lavori pubblici sotto i 100.000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241/1990 -D.Lgs. n. 82/2005 - L. 190/2012 - D.Lgs.n. 33/2013 - DPR n. 62/2013 - Statuto - Regolamento sul procedimento amministrativo - D.Lgs. 267/2000 T.U.E.L. - Regolamento di contabilita' - Regolamento comunale organizzazione degli uffici e dei servizi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