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Emissioni ruoli riscossione sanzioni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nell'emissione della cartella esattoriale (ruolo) o dell'ingiunzione di pagamento, quando siano trascorsi 60 giorni senza che si sia proceduto al pagamento ed il verbale sia diventato titolo esecutivo.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689/1981 - D.Lgs. 285/92 - Codice della strada - D.P.R. 495/1992 - Regolamento di esecuzione e di attuazione del nuovo codice della strada - D.P.R. 151/2012 - Regolamento recante modifiche al D.P.R. 495/1992, concernente il regolamento di esecuzione e di attuazione del Nuovo Codice della strada, in materia di strutture, contrassegno e segnaletica per facilitare la mobilita' delle persone invalide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La cartella esattoriale relativa a contravvenzioni al codice della strada deve essere notificata, a pena di decadenza, entro due anni dalla data di consegna del ruolo dal Comune irrogatore al concessionario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Impugnazione entro i termini indicati nel provvedimento da impugnare.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