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rdinanza di ingiun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ingiunzione di pagamento permette la riscossione dell'importo relativo al mancato pagamento di una sanzione amministrativa (infrazioni al Codice della Strada e ai regolamenti comunali) e al recupero delle eventuali spese di accertamento e notificazione, piu' la maggiorazione prevista dalla legge n. 689/81) di un decimo della sanzione per semestre dalla data in cui e' decorso il termine per il pagamento in misura ridott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descrizione di questo processo si ricava dalla declinazione della funzione istituzionale a cui il processo e' correlato, ed e' contenuta nel Piano Esecutivo di Gestione (PEG/PDO) dell'Ente o in altri documenti analoghi, tra gli obiettivi di funzioname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5 anni dal giorno di notifica del verbale di accertame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