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Ordinanze di confisca e provvedimenti di dissequestro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nell'emanazione di ordinanze di confisca e provvedimenti di dissequestro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Decreto Legislativo 30 aprile 1992, n.285 "Codice della strada" - D.P.R. 151/2012 - Regolamento recante modifiche al D.P.R. 495/1992, concernente il regolamento di esecuzione e di attuazione del Nuovo Codice della strada, in materia di strutture, contrassegno e segnaletica per facilitare la mobilita' delle persone invalide - D.P.R. 495/1992 - Regolamento di esecuzione e di attuazione del nuovo codice della strada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