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rdinanze regolamentazione circol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predisposizione di ordinanze temporanee e permanenti in materia di circolazione stradale, su richieste di cittadini e imprese private, ovvero, su richieste di altri uffici comunali e altri Enti istituzionali. Con l'adozione di tali provvedimenti e' possibile istituire in via temporanea o definitiva divieti di sosta, di transito, sensi unici alternati, restringimenti di carreggiata, al fine di migliorare la viabilita' urbana o per il soddisfacimento di specifiche esigenze di ordine temporane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