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requisiti di dimora abituale delle variazioni di residenza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requisiti di dimora abituale delle variazioni di residenza. L'accertamento riguarda la fase successiva alla registrazione delle dichiarazioni rese, ovvero quella che attiene all'accertamento dei requisiti previsti per l'iscrizione anagrafica o per la registrazione dei cambiamenti di abitazione, e che riguarda gli effetti derivanti dagli eventuali esiti negativi derivanti dagli accertamenti.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 particolare, in caso di dichiarazioni non corrispondenti alla situazione di fatto, la normativa prevede la decadenza dei benefici acquisiti per effetto della dichiarazione, nonche' il rilievo penale della dichiarazione mendace.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L'Anagrafe provvedera', previo preavviso di rigetto, ad annullare la nuova posizione anagrafica, ripristinando, con effetto retroattivo, quella precedente. L'ufficio provvedera' a darne comunicazione, oltre che al dichiarante, al Comune di precedente iscrizione e, qualora sussistano i presupposti di cui agli artt. 75 e 76 del D.P.R. 445/2000 (dichiarazioni mendaci), all'Autorita' di pubblica sicurezza.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L'anagrafe si avvale degli uffici della Polizia Locale per l'accertamento dei requisiti.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45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