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Demografici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Elettorale: aggiornamento albo scrutatori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gestione dei registri , relativamente all'aggiornamento albo scrutatori.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Procedimento di aggiornamento dell'albo degli scrutatori di seggio elettorale.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Su articola in due fasi: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richiesta di iscrizione all'albo entro il 30 novembre di ogni anno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richiesta di cancellazione dall'albo entro il 30 dicembre di ogni anno: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Una volta accertati i requisiti di iscrizioni ed esaminate le domande di cancellazione, si procede all'aggiornamento dell'albo.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361/1957 - Testo unico norme per l'elezione della Camera - L. 53/1990 - Misure urgenti atte a garantire maggiore efficienza al procedimento elettorale - L. 120/1999 - Disposizioni in materia di elezione delgi organi degli enti locali, nonche' disposizioni sugli adempimenti in materia elettorale - L. 270/2005 - Modifiche alle norme per l'elezione della Camera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https://www.comune.cassanoalloionio.cs.it/index.php?action=index&amp;p=47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Entro il 15 gennaio di ogni anno viene depositato in Segreteria del Comune l'albo aggiornato.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aggiornamento dell'albo.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