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Elettorale: iscrizione nell'albo dei Giudici Popolari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dei registri , relativamente all'iscrizione nell'albo dei Giudici Popolari. A cadenza biennale il Comune e' tenuto alla compilazione d'ufficio degli elenchi dei cittadini idonei ad essere iscritti agli Albi dei Giudici Popolari di Corte d'Assise e di Corte d'Assise d'Appello, alla cui formazione definitiva provvedono i Presidenti dei Tribunali delle rispettive Corti.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Le iscrizioni vengono aperte ogni 2 anni (anni dispari) e la domanda va presentata entro il 31 luglio.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L'iscrizione all'albo e' permanente e gli aggiornamenti sono effettuati da una commissione comunale, che verifica i requisiti prescritti dalla legge e predispone l'elenco dei nuovi iscritti da inoltrare alla Pretura.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In base alla normativa vengono formati due elenchi separati, uno dei giudici popolari di Corte d'Assise e l'altro dei giudici popolari di Corte d'Assise d'Appello.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287/1951 - Riordinamento dei giudizi di Assise - L. 405/1952 - Modifiche alla L. 287/1951 - L. 1441/1956 - Partecipazione delle donne all'amministrazione della giustizia nelle Corti di Assise e nei Tribunali per minori - D.P.R. 445/2000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https://www.comune.cassanoalloionio.cs.it/index.php?action=index&amp;p=47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Le iscrizioni vengono aperte ogni 2 anni (anni dispari) e la domanda va presentata entro il 31 luglio.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aggiornamento Albo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