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1 SETTORE AREA AFFARI GENERALI</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1 SETTORE AREA AFFARI GENERALI</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Servizi Demografici</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Richiesta riconciliazione tra coniugi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richiesta da parte dei coniugi di far cessare gli effetti della sentenza di separazione senza che sia necessario l'intervento del giudice.</w:t>
            </w:r>
          </w:p>
          <w:p>
            <w:pPr>
              <w:jc w:val="both"/>
            </w:pPr>
            <w:r>
              <w:rPr>
                <w:rFonts w:ascii="Arial" w:hAnsi="Arial"/>
              </w:rPr>
              <w:t xml:space="preserve">I coniugi possono, di comune accordo, far cessare gli effetti della sentenza di separazione senza che sia necessario l'intervento del giudice.</w:t>
            </w:r>
          </w:p>
          <w:p>
            <w:pPr>
              <w:jc w:val="both"/>
            </w:pPr>
            <w:r>
              <w:rPr>
                <w:rFonts w:ascii="Arial" w:hAnsi="Arial"/>
              </w:rPr>
              <w:t xml:space="preserve">La richiesta di rendere la dichiarazione di riconciliazione deve essere fatta nel Comune dove e' avvenuto il matrimonio o in quello in cui e' trascritto l'atto di matrimonio.</w:t>
            </w:r>
          </w:p>
          <w:p>
            <w:pPr>
              <w:jc w:val="both"/>
            </w:pPr>
            <w:r>
              <w:rPr>
                <w:rFonts w:ascii="Arial" w:hAnsi="Arial"/>
              </w:rPr>
              <w:t xml:space="preserve">L'ufficiale dello stato civile verifica i dati anagrafici dei coniugi mediante acquisizione d'ufficio degli atti necessari nei Comuni italiani interessati, dopo di che fissa l'appuntamento per la dichiarazione di riconciliazione, che deve essere sottoscritta contestualmente dai due coniugi i quali, pertanto, dovranno presentarsi insieme all'appuntamento, muniti ciascuno del proprio documento d'identita'.</w:t>
            </w:r>
          </w:p>
          <w:p>
            <w:pPr>
              <w:jc w:val="both"/>
            </w:pPr>
            <w:r>
              <w:rPr>
                <w:rFonts w:ascii="Arial" w:hAnsi="Arial"/>
              </w:rPr>
              <w:t xml:space="preserve">L'annotazione sull'atto di matrimonio della riconciliazione viene curata d'ufficio. La data di decorrenza della riconciliazione e' quella dell'atto di riconciliazione reso davanti all'ufficiale dello stato civile. La pubblicita' ai terzi decorre dall'annotazione sull'atto di matrimonio.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 SETTORE AREA AFFARI GENERALI SETTORE/UNITA' ORGANIZZATIVA 1 SETTORE AREA AFFARI GENERALI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Servizi Demografici Via Amendola 1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Avv. Murfone Marcella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https://www.comune.cassanoalloionio.cs.it/index.php?action=index&amp;p=47</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Servizi Demografici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 data di decorrenza della riconciliazione e' quella dell'atto di riconciliazione reso davanti all'ufficiale dello stato civile. La pubblicita' ai terzi decorre dall'annotazione sull'atto di matrimonio.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Ricorso entro i termini indicati nel provvedimento da impugnare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