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civile: Adozione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dell' adozione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476/1998 - Ratifica ed esecuzione della Convenzione per la tutela dei minori e la cooperazione in materia di adozione internazionale - L. 149/2001 - Modifiche alla L. 184/1983 recante disciplina della adozione e dell'affidamento dei minori - D.P.R. 108/2007 - Regolamento recante riordino della Commissione per le adozioni internazionali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Gli effetti della filiazione derivanti dall'adozione e l'acquisto della cittadinanza decorrono dalla data della sentenza del tribunale italiano passata in giudicato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l'Ufficiale di Stato Civile trasmette tutte le variazioni al comune di residenza del minore che provvedera' alla modifica dei dati anagrafici del minore: il cognome del padre, indicazione maternita' e paternita', eventuale nuovo nome deciso dal Tribunale;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