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Sociali e Politiche Giovanili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Contrassegni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e l'aggiornamento dei contrassegni per disabili e il controllo delle relative pratiche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285/92 - Codice della strada - D.P.R. 495/1992 - Regolamento di esecuzione e di attuazione del nuovo codice della strada - D.P.R. 503/1996 - Regolamento norme per l'eliminazione delle barriere architettoniche negli edifici, spazi e servizi pubblici - D.P.R. 151/2012 - Regolamento recante modifiche al D.P.R. 495/1992, concernente il regolamento di esecuzione e di attuazione del Nuovo Codice della strada, in materia di strutture, contrassegno e segnaletica per facilitare la mobilita' delle persone invalide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Entro 30 giorni dal termine per la presentazione dell'istanza stabilito dall'Ente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