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Controllo Imposta di soggiorno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verifica della regolarita' della posizione del contribuente finalizzata all'eventuale emissione di avviso di accertamento con determinazione dell'importo da pagare, comprensivo di imposta, sanzioni ed interessi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Decreti legislativi di riforma delle sanzioni tributarie - L. 212/2000 (Statuto del contribuente) - L. 296/2006 - Regolamento generale delle entrate comunali - Regolamento comunale per l'applicazione dell'imposta di soggiorno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 Via Amendola 1 - Tel: 0981.780222 -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0981.780222 -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avanti alla Commissione Tributaria Provinciale.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Ricorso/Reclamo giurisdizionale alla Commissione Tributaria entro 60 giorni dalla notifica del provvedimento ai sensi del D.Lgs 546/1992, (1Â? e 2Â? grado) - Ricorso in Cassazione (3Â? grado)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