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tassa sui rifiuti TARES/T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ella regolarita' della posizione del contribuente finalizzata all'eventuale emissione di avviso di accertamento con determinazione dell'importo da pagare, comprensivo di imposta, sanzioni ed interess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. 201/2011 - Leggi finanziarie annuali - D.P.R. 158/1999 - Regolamento per definire la tariffa del servizio di gestione del ciclo dei rifiuti urbani - Regolamento generale delle entrate comunali - Regolamento Comunale IUC - Regolamento per la disciplina del tributo sui rifiuti e sui servizi - TARES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il 31 dicembre del quinto anno successivo a quello in cui la dichiarazione o il versamento sono stati o avrebbero dovuto essere effettu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vanti alla Commissione Tributaria Provinci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corso/Reclamo giurisdizionale alla Commissione Tributaria entro 60 giorni dalla notifica del provvedimento ai sensi del D.Lgs 546/1992, (1Ã?Â? e 2Ã?Â? grado) - Ricorso in Cassazione (3Ã?Â? grad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