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TOSAP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della regolarita' della posizione del contribuente finalizzata all'eventuale emissione di avviso di accertamento con determinazione dell'importo da pagare, comprensivo di imposta, sanzioni ed interessi.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R.D. 1175/1931 - Testo unico per la finanza locale - D.Lgs. 507/1993 - Revisione ed armonizzazione imposta comunale sulla pubblicita' e del diritto sulle pubbliche affissioni - D.Lgs. 566/1993 - Disposizioni correttive al D.Lgs. 507/1993 - D.Lgs. 446/1997 - L. 448/1998 - Misure di finanza pubblica per la stabilizzazione e lo sviluppo - Regolamento comunale applicazione TOSAP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del quinto anno successivo a quello in cui la dichiarazione o il versamento sono stati o avrebbero dovuto essere effettuati.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avanti alla Commissione Tributaria Provinciale.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Ricorso/Reclamo giurisdizionale alla Commissione Tributaria entro 60 giorni dalla notifica del provvedimento ai sensi del D.Lgs 546/1992, (1Â? e 2Â? grado) - Ricorso in Cassazione (3Â? grado)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