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Iscrizione a ruolo entrate tributarie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nell'iscrivere a ruolo le entrate tributarie a seguito dell'inadempimento del contribuente.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Come per i tributi dai quali hanno ereditato la struttura impositiva (Ici e Tarsu) conclusa la fase accertativa, per le somme certe, liquide ed esigibili, frutto di avvisi di accertamento regolarmente notificati, non pagati e non contestati, l'ente deve provvedere a emettere il titolo esecutivo, trovandosi di fronte a una duplice soluzione: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a) la riscossione diretta anche nella fase coattiva attraverso l'emissione dell'ingiunzione di pagamento, in base al regio decreto 639/1910 rinforzata dall'assimilazione al titolo II del Dpr 602/1973;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b) l'emissione del ruolo coattivo, in base al Dpr 602/1973 e del Dlgs 112/1999.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Decreti legislativi di riforma delle sanzioni tributarie - L. 212/2000 (Statuto del contribuente) - L. 296/2006 - Regolamento generale delle entrate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 Via Amendola 1 - Tel: 0981.780222 -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0981.780222 -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